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浙大宁波理工学院</w:t>
      </w: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视觉形象识别系统</w:t>
      </w:r>
    </w:p>
    <w:p>
      <w:pPr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浙大宁波理工学院</w:t>
      </w:r>
      <w:r>
        <w:rPr>
          <w:rFonts w:hint="eastAsia" w:ascii="仿宋_GB2312" w:hAnsi="仿宋_GB2312" w:eastAsia="仿宋_GB2312" w:cs="仿宋_GB2312"/>
          <w:sz w:val="32"/>
          <w:szCs w:val="32"/>
        </w:rPr>
        <w:t>已经通过VI基础核心元素方案，包括校标、校名及与院级单位组合使用规范，校旗，辅助图形，字体等，明确和规范了学校主要标志的样式和使用方法。 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浙大宁波理工学院</w:t>
      </w:r>
      <w:r>
        <w:rPr>
          <w:rFonts w:hint="eastAsia" w:ascii="仿宋_GB2312" w:hAnsi="仿宋_GB2312" w:eastAsia="仿宋_GB2312" w:cs="仿宋_GB2312"/>
          <w:sz w:val="32"/>
          <w:szCs w:val="32"/>
        </w:rPr>
        <w:t>视觉识别系统设计的五大规范要点：</w:t>
      </w:r>
      <w:r>
        <w:rPr>
          <w:rFonts w:hint="eastAsia" w:ascii="仿宋_GB2312" w:hAnsi="仿宋_GB2312" w:eastAsia="仿宋_GB2312" w:cs="仿宋_GB2312"/>
          <w:sz w:val="32"/>
          <w:szCs w:val="32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一是学校的校标和校名以保持原样为原则，做精细化、数字化、规范化处理。</w:t>
      </w:r>
      <w:r>
        <w:rPr>
          <w:rFonts w:hint="eastAsia" w:ascii="仿宋_GB2312" w:hAnsi="仿宋_GB2312" w:eastAsia="仿宋_GB2312" w:cs="仿宋_GB2312"/>
          <w:sz w:val="32"/>
          <w:szCs w:val="32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二是命名标准色蓝色为“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求是</w:t>
      </w:r>
      <w:r>
        <w:rPr>
          <w:rFonts w:hint="eastAsia" w:ascii="仿宋_GB2312" w:hAnsi="仿宋_GB2312" w:eastAsia="仿宋_GB2312" w:cs="仿宋_GB2312"/>
          <w:sz w:val="32"/>
          <w:szCs w:val="32"/>
        </w:rPr>
        <w:t>蓝”、主辅助色红色为“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创</w:t>
      </w:r>
      <w:r>
        <w:rPr>
          <w:rFonts w:hint="eastAsia" w:ascii="仿宋_GB2312" w:hAnsi="仿宋_GB2312" w:eastAsia="仿宋_GB2312" w:cs="仿宋_GB2312"/>
          <w:sz w:val="32"/>
          <w:szCs w:val="32"/>
        </w:rPr>
        <w:t>新红”。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三是对学校的校标、校名与院级单位名组合使用做了统一规范。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四是评选敲定校旗为蓝色、红色和白色，蓝色和红色校旗配白色校标、中文校名，白色校旗分别配蓝色和红色校标、中文校名。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五是从学校历史文化元素中淬炼出多组辅助图形。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校标解读</w:t>
      </w:r>
      <w:r>
        <w:rPr>
          <w:rFonts w:hint="eastAsia" w:ascii="仿宋_GB2312" w:hAnsi="仿宋_GB2312" w:eastAsia="仿宋_GB2312" w:cs="仿宋_GB2312"/>
          <w:sz w:val="32"/>
          <w:szCs w:val="32"/>
        </w:rPr>
        <w:t xml:space="preserve"> 校标是学校的重要标志符号, 也是学校视觉识别系统的核心设计要素。作为学校使用频率最高的视觉符号, 凡与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浙大宁波理工学院</w:t>
      </w:r>
      <w:r>
        <w:rPr>
          <w:rFonts w:hint="eastAsia" w:ascii="仿宋_GB2312" w:hAnsi="仿宋_GB2312" w:eastAsia="仿宋_GB2312" w:cs="仿宋_GB2312"/>
          <w:sz w:val="32"/>
          <w:szCs w:val="32"/>
        </w:rPr>
        <w:t>有关的一切视觉设计都需要以此为核心规范拓展。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drawing>
          <wp:inline distT="0" distB="0" distL="114300" distR="114300">
            <wp:extent cx="5610225" cy="3302635"/>
            <wp:effectExtent l="0" t="0" r="9525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330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12765" cy="3314065"/>
            <wp:effectExtent l="0" t="0" r="6985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765" cy="331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</w:pPr>
      <w:r>
        <w:rPr>
          <w:rFonts w:hint="eastAsia" w:ascii="黑体" w:hAnsi="黑体" w:eastAsia="黑体" w:cs="黑体"/>
          <w:sz w:val="32"/>
          <w:szCs w:val="32"/>
        </w:rPr>
        <w:t>标准彩色校标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标准色彩规范</w:t>
      </w:r>
      <w:r>
        <w:rPr>
          <w:rFonts w:hint="eastAsia" w:ascii="仿宋_GB2312" w:hAnsi="仿宋_GB2312" w:eastAsia="仿宋_GB2312" w:cs="仿宋_GB2312"/>
          <w:sz w:val="32"/>
          <w:szCs w:val="32"/>
        </w:rPr>
        <w:t xml:space="preserve"> 标准色是构成学校精神及品牌文化的重要因素，通过视觉传达产生强烈印象，达到色彩在视觉传达中的识别作用。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求是蓝：蓝色令人联想到海洋、天空、宇宙等，表现出广阔、宽厚、包容的气质；同时，具有现代科技感，代表着智慧。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是求是创新</w:t>
      </w:r>
      <w:r>
        <w:rPr>
          <w:rFonts w:hint="eastAsia" w:ascii="仿宋_GB2312" w:hAnsi="仿宋_GB2312" w:eastAsia="仿宋_GB2312" w:cs="仿宋_GB2312"/>
          <w:sz w:val="32"/>
          <w:szCs w:val="32"/>
        </w:rPr>
        <w:t>的浙大精神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的传承</w:t>
      </w:r>
      <w:r>
        <w:rPr>
          <w:rFonts w:hint="eastAsia" w:ascii="仿宋_GB2312" w:hAnsi="仿宋_GB2312" w:eastAsia="仿宋_GB2312" w:cs="仿宋_GB2312"/>
          <w:sz w:val="32"/>
          <w:szCs w:val="32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主辅助色彩规范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创新红：来源于中国红，提炼自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浙大宁波理工学院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魔方图书馆</w:t>
      </w:r>
      <w:r>
        <w:rPr>
          <w:rFonts w:hint="eastAsia" w:ascii="仿宋_GB2312" w:hAnsi="仿宋_GB2312" w:eastAsia="仿宋_GB2312" w:cs="仿宋_GB2312"/>
          <w:sz w:val="32"/>
          <w:szCs w:val="32"/>
        </w:rPr>
        <w:t>建筑主色调，取红色所蕴含的积极进取、求新向上之义，与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明德弘毅、开物启新</w:t>
      </w:r>
      <w:r>
        <w:rPr>
          <w:rFonts w:hint="eastAsia" w:ascii="仿宋_GB2312" w:hAnsi="仿宋_GB2312" w:eastAsia="仿宋_GB2312" w:cs="仿宋_GB2312"/>
          <w:sz w:val="32"/>
          <w:szCs w:val="32"/>
        </w:rPr>
        <w:t>的浙大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宁理</w:t>
      </w:r>
      <w:r>
        <w:rPr>
          <w:rFonts w:hint="eastAsia" w:ascii="仿宋_GB2312" w:hAnsi="仿宋_GB2312" w:eastAsia="仿宋_GB2312" w:cs="仿宋_GB2312"/>
          <w:sz w:val="32"/>
          <w:szCs w:val="32"/>
        </w:rPr>
        <w:t>精神相契合。辅助图形 辅助图形是辅助校标形象和学校理念进行视觉上的传达，在实际应用中能起到丰富视觉效果，统一视觉形象的双重作用。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</w:rPr>
      </w:pPr>
      <w:r>
        <w:drawing>
          <wp:inline distT="0" distB="0" distL="114300" distR="114300">
            <wp:extent cx="5615305" cy="3319145"/>
            <wp:effectExtent l="0" t="0" r="4445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530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15305" cy="3319145"/>
            <wp:effectExtent l="0" t="0" r="4445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530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</w:pPr>
      <w:r>
        <w:rPr>
          <w:rFonts w:hint="eastAsia" w:ascii="黑体" w:hAnsi="黑体" w:eastAsia="黑体" w:cs="黑体"/>
          <w:sz w:val="32"/>
          <w:szCs w:val="32"/>
        </w:rPr>
        <w:t>中英文名称组合色彩稿</w:t>
      </w:r>
      <w:r>
        <w:rPr>
          <w:rFonts w:hint="eastAsia" w:ascii="仿宋_GB2312" w:hAnsi="仿宋_GB2312" w:eastAsia="仿宋_GB2312" w:cs="仿宋_GB2312"/>
          <w:sz w:val="32"/>
          <w:szCs w:val="32"/>
        </w:rPr>
        <w:t xml:space="preserve"> 中英文校名组合与校标同样具有专属性和认知性。中英文标准字在设计上与校标相互协调，相辅相成，在造型结构与视觉上形成统一感。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08955" cy="3325495"/>
            <wp:effectExtent l="0" t="0" r="10795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0895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08955" cy="3288030"/>
            <wp:effectExtent l="0" t="0" r="10795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08955" cy="328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10860" cy="3293110"/>
            <wp:effectExtent l="0" t="0" r="889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329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校标与校名的标准组合形式</w:t>
      </w:r>
      <w:r>
        <w:rPr>
          <w:rFonts w:hint="eastAsia" w:ascii="仿宋_GB2312" w:hAnsi="仿宋_GB2312" w:eastAsia="仿宋_GB2312" w:cs="仿宋_GB2312"/>
          <w:sz w:val="32"/>
          <w:szCs w:val="32"/>
        </w:rPr>
        <w:t xml:space="preserve"> 为了适应不同场合和载体环境，特规定了校标与标准字的组合形式，以确保学校视觉形象传达的清晰、完整和统一。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15305" cy="3268980"/>
            <wp:effectExtent l="0" t="0" r="4445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5305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15305" cy="3294380"/>
            <wp:effectExtent l="0" t="0" r="4445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5305" cy="329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12765" cy="3263900"/>
            <wp:effectExtent l="0" t="0" r="6985" b="1270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765" cy="326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12765" cy="3258185"/>
            <wp:effectExtent l="0" t="0" r="6985" b="184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765" cy="325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15305" cy="3275330"/>
            <wp:effectExtent l="0" t="0" r="4445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5305" cy="327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09590" cy="3308985"/>
            <wp:effectExtent l="0" t="0" r="1016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330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09590" cy="3302635"/>
            <wp:effectExtent l="0" t="0" r="10160" b="1206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330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10225" cy="3240405"/>
            <wp:effectExtent l="0" t="0" r="9525" b="171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08955" cy="3294380"/>
            <wp:effectExtent l="0" t="0" r="10795" b="12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08955" cy="329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校旗</w:t>
      </w:r>
      <w:r>
        <w:rPr>
          <w:rFonts w:hint="eastAsia" w:ascii="仿宋_GB2312" w:hAnsi="仿宋_GB2312" w:eastAsia="仿宋_GB2312" w:cs="仿宋_GB2312"/>
          <w:sz w:val="32"/>
          <w:szCs w:val="32"/>
        </w:rPr>
        <w:t xml:space="preserve"> 校旗是学校的重要形象标识，制作时务必按此设计规范进行，不得对规格、字体、颜色及排版组合方式做任何改动。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08955" cy="3281680"/>
            <wp:effectExtent l="0" t="0" r="10795" b="139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08955" cy="328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15305" cy="3194050"/>
            <wp:effectExtent l="0" t="0" r="4445" b="63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5305" cy="319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/>
        </w:rPr>
      </w:pPr>
      <w:r>
        <w:rPr>
          <w:rFonts w:hint="eastAsia" w:ascii="黑体" w:hAnsi="黑体" w:eastAsia="黑体" w:cs="黑体"/>
          <w:sz w:val="32"/>
          <w:szCs w:val="32"/>
        </w:rPr>
        <w:t>校标与二级单位标准组合</w:t>
      </w:r>
      <w:r>
        <w:rPr>
          <w:rFonts w:hint="eastAsia" w:ascii="仿宋_GB2312" w:hAnsi="仿宋_GB2312" w:eastAsia="仿宋_GB2312" w:cs="仿宋_GB2312"/>
          <w:sz w:val="32"/>
          <w:szCs w:val="32"/>
        </w:rPr>
        <w:t xml:space="preserve"> 标志与二级单位标准组合是一个平衡的整体，使用中不得改变其形状、结构和比例。一致连贯地使用品牌标志有助于保持品牌的统一性，使品牌更容易识别。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08955" cy="3300095"/>
            <wp:effectExtent l="0" t="0" r="10795" b="146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08955" cy="330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10860" cy="3293110"/>
            <wp:effectExtent l="0" t="0" r="8890" b="254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329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615305" cy="3288030"/>
            <wp:effectExtent l="0" t="0" r="4445" b="762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5305" cy="328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</w:rPr>
      </w:pPr>
      <w:r>
        <w:drawing>
          <wp:inline distT="0" distB="0" distL="114300" distR="114300">
            <wp:extent cx="5615305" cy="3306445"/>
            <wp:effectExtent l="0" t="0" r="4445" b="825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5305" cy="330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sectPr>
      <w:footerReference r:id="rId3" w:type="default"/>
      <w:pgSz w:w="11906" w:h="16838"/>
      <w:pgMar w:top="2098" w:right="1474" w:bottom="1984" w:left="1587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3" name="文本框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  <w:rPr>
                              <w:rFonts w:hint="eastAsia" w:ascii="仿宋_GB2312" w:hAnsi="仿宋_GB2312" w:eastAsia="仿宋_GB2312" w:cs="仿宋_GB2312"/>
                              <w:sz w:val="32"/>
                              <w:szCs w:val="32"/>
                              <w:lang w:eastAsia="zh-CN"/>
                            </w:rPr>
                          </w:pPr>
                          <w:r>
                            <w:rPr>
                              <w:rFonts w:hint="eastAsia" w:ascii="仿宋_GB2312" w:hAnsi="仿宋_GB2312" w:eastAsia="仿宋_GB2312" w:cs="仿宋_GB2312"/>
                              <w:sz w:val="32"/>
                              <w:szCs w:val="32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="仿宋_GB2312" w:hAnsi="仿宋_GB2312" w:eastAsia="仿宋_GB2312" w:cs="仿宋_GB2312"/>
                              <w:sz w:val="32"/>
                              <w:szCs w:val="32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仿宋_GB2312" w:hAnsi="仿宋_GB2312" w:eastAsia="仿宋_GB2312" w:cs="仿宋_GB2312"/>
                              <w:sz w:val="32"/>
                              <w:szCs w:val="32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="仿宋_GB2312" w:hAnsi="仿宋_GB2312" w:eastAsia="仿宋_GB2312" w:cs="仿宋_GB2312"/>
                              <w:sz w:val="32"/>
                              <w:szCs w:val="32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 w:ascii="仿宋_GB2312" w:hAnsi="仿宋_GB2312" w:eastAsia="仿宋_GB2312" w:cs="仿宋_GB2312"/>
                              <w:sz w:val="32"/>
                              <w:szCs w:val="32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  <w:rPr>
                        <w:rFonts w:hint="eastAsia" w:ascii="仿宋_GB2312" w:hAnsi="仿宋_GB2312" w:eastAsia="仿宋_GB2312" w:cs="仿宋_GB2312"/>
                        <w:sz w:val="32"/>
                        <w:szCs w:val="32"/>
                        <w:lang w:eastAsia="zh-CN"/>
                      </w:rPr>
                    </w:pPr>
                    <w:r>
                      <w:rPr>
                        <w:rFonts w:hint="eastAsia" w:ascii="仿宋_GB2312" w:hAnsi="仿宋_GB2312" w:eastAsia="仿宋_GB2312" w:cs="仿宋_GB2312"/>
                        <w:sz w:val="32"/>
                        <w:szCs w:val="32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="仿宋_GB2312" w:hAnsi="仿宋_GB2312" w:eastAsia="仿宋_GB2312" w:cs="仿宋_GB2312"/>
                        <w:sz w:val="32"/>
                        <w:szCs w:val="32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="仿宋_GB2312" w:hAnsi="仿宋_GB2312" w:eastAsia="仿宋_GB2312" w:cs="仿宋_GB2312"/>
                        <w:sz w:val="32"/>
                        <w:szCs w:val="32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="仿宋_GB2312" w:hAnsi="仿宋_GB2312" w:eastAsia="仿宋_GB2312" w:cs="仿宋_GB2312"/>
                        <w:sz w:val="32"/>
                        <w:szCs w:val="32"/>
                        <w:lang w:eastAsia="zh-CN"/>
                      </w:rPr>
                      <w:t>1</w:t>
                    </w:r>
                    <w:r>
                      <w:rPr>
                        <w:rFonts w:hint="eastAsia" w:ascii="仿宋_GB2312" w:hAnsi="仿宋_GB2312" w:eastAsia="仿宋_GB2312" w:cs="仿宋_GB2312"/>
                        <w:sz w:val="32"/>
                        <w:szCs w:val="32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C0A0A9D"/>
    <w:rsid w:val="0ACB5F4C"/>
    <w:rsid w:val="2C0A0A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2021-01-19T03:35:00Z</dcterms:created>
  <dc:creator>马利文</dc:creator>
  <cp:lastModifiedBy>马利文</cp:lastModifiedBy>
  <dcterms:modified xsi:type="dcterms:W3CDTF">2021-01-19T07:46:19Z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